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612E8D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BB6E06" w:rsidRPr="005A12CF">
              <w:rPr>
                <w:b/>
              </w:rPr>
              <w:t>Μπουναρτζόγλου Δέσποινα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 xml:space="preserve">2313 </w:t>
            </w:r>
            <w:r w:rsidR="000D3895" w:rsidRPr="005A12CF">
              <w:t>302</w:t>
            </w:r>
            <w:r w:rsidR="00D44474" w:rsidRPr="005A12CF">
              <w:t>7</w:t>
            </w:r>
            <w:r w:rsidR="00BB6E06" w:rsidRPr="005A12CF">
              <w:t>22</w:t>
            </w:r>
            <w:r w:rsidR="00612E8D" w:rsidRPr="005A12CF">
              <w:t>,</w:t>
            </w:r>
            <w:r w:rsidR="00612E8D">
              <w:t xml:space="preserve"> 708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</w:t>
            </w:r>
            <w:r w:rsidR="00E00AB5" w:rsidRPr="005A12CF">
              <w:t>: [</w:t>
            </w:r>
            <w:r w:rsidR="00BB6E06" w:rsidRPr="005A12CF">
              <w:rPr>
                <w:lang w:val="en-US"/>
              </w:rPr>
              <w:t>d</w:t>
            </w:r>
            <w:r w:rsidR="00BB6E06" w:rsidRPr="005A12CF">
              <w:t>.</w:t>
            </w:r>
            <w:proofErr w:type="spellStart"/>
            <w:r w:rsidR="00BB6E06" w:rsidRPr="005A12CF">
              <w:rPr>
                <w:lang w:val="en-US"/>
              </w:rPr>
              <w:t>mpounartzoglou</w:t>
            </w:r>
            <w:proofErr w:type="spellEnd"/>
            <w:r w:rsidR="00BB6E06" w:rsidRPr="005A12CF">
              <w:t>@</w:t>
            </w:r>
            <w:proofErr w:type="spellStart"/>
            <w:r w:rsidR="00BB6E06" w:rsidRPr="005A12CF">
              <w:rPr>
                <w:lang w:val="en-US"/>
              </w:rPr>
              <w:t>pilea</w:t>
            </w:r>
            <w:proofErr w:type="spellEnd"/>
            <w:r w:rsidR="00BB6E06" w:rsidRPr="005A12CF">
              <w:t>-</w:t>
            </w:r>
            <w:proofErr w:type="spellStart"/>
            <w:r w:rsidR="00BB6E06" w:rsidRPr="005A12CF">
              <w:rPr>
                <w:lang w:val="en-US"/>
              </w:rPr>
              <w:t>hortiatis</w:t>
            </w:r>
            <w:proofErr w:type="spellEnd"/>
            <w:r w:rsidR="00BB6E06" w:rsidRPr="005A12CF">
              <w:t>.</w:t>
            </w:r>
            <w:proofErr w:type="spellStart"/>
            <w:r w:rsidR="00BB6E06" w:rsidRPr="005A12CF">
              <w:rPr>
                <w:lang w:val="en-US"/>
              </w:rPr>
              <w:t>gr</w:t>
            </w:r>
            <w:proofErr w:type="spellEnd"/>
            <w:r w:rsidR="00E00AB5" w:rsidRPr="005A12CF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BB6E06" w:rsidRDefault="00E00AB5" w:rsidP="00BB6E06">
            <w:pPr>
              <w:shd w:val="clear" w:color="auto" w:fill="A6A6A6" w:themeFill="background1" w:themeFillShade="A6"/>
              <w:spacing w:after="0"/>
              <w:ind w:firstLine="0"/>
            </w:pPr>
            <w:r w:rsidRPr="00BB6E06">
              <w:t xml:space="preserve">- Τίτλος ή σύντομη περιγραφή της δημόσιας σύμβασης (συμπεριλαμβανομένου του σχετικού </w:t>
            </w:r>
            <w:r w:rsidRPr="00BB6E06">
              <w:rPr>
                <w:lang w:val="en-US"/>
              </w:rPr>
              <w:t>CPV</w:t>
            </w:r>
            <w:r w:rsidRPr="00BB6E06">
              <w:t xml:space="preserve">): </w:t>
            </w:r>
            <w:r w:rsidRPr="005A12CF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266FDD">
              <w:rPr>
                <w:b/>
                <w:bCs/>
                <w:color w:val="000000"/>
              </w:rPr>
              <w:t>ΣΥΝΤΗΡΗΣΕΙΣ ΚΟΙΜΗΤΗΡΙΩΝ 2018</w:t>
            </w:r>
            <w:r w:rsidR="00BB6E06" w:rsidRPr="005A12CF">
              <w:rPr>
                <w:b/>
                <w:bCs/>
                <w:color w:val="000000"/>
              </w:rPr>
              <w:t>/</w:t>
            </w:r>
            <w:r w:rsidR="00E950AE" w:rsidRPr="005A12C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5A12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266FDD">
              <w:rPr>
                <w:rFonts w:asciiTheme="minorHAnsi" w:hAnsiTheme="minorHAnsi" w:cstheme="minorHAnsi"/>
                <w:b/>
                <w:sz w:val="24"/>
                <w:szCs w:val="24"/>
              </w:rPr>
              <w:t>45215400-1</w:t>
            </w:r>
            <w:r w:rsidRPr="005A12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5A12CF">
              <w:rPr>
                <w:b/>
              </w:rPr>
              <w:t xml:space="preserve">: </w:t>
            </w:r>
            <w:r w:rsidR="005A12CF" w:rsidRPr="00266FDD">
              <w:rPr>
                <w:b/>
              </w:rPr>
              <w:t>19</w:t>
            </w:r>
            <w:r w:rsidR="005A12CF">
              <w:rPr>
                <w:b/>
                <w:lang w:val="en-US"/>
              </w:rPr>
              <w:t>PROC</w:t>
            </w:r>
            <w:r w:rsidR="005A12CF" w:rsidRPr="00266FDD">
              <w:rPr>
                <w:b/>
              </w:rPr>
              <w:t>0048</w:t>
            </w:r>
            <w:r w:rsidR="0030585E">
              <w:rPr>
                <w:b/>
              </w:rPr>
              <w:t>49700</w:t>
            </w:r>
            <w:r w:rsidRPr="005A12CF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30585E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5A12CF">
              <w:rPr>
                <w:b/>
              </w:rPr>
              <w:t>[</w:t>
            </w:r>
            <w:r w:rsidR="005C711B" w:rsidRPr="005A12CF">
              <w:rPr>
                <w:b/>
              </w:rPr>
              <w:t xml:space="preserve">ΑΡ. ΜΕΛ </w:t>
            </w:r>
            <w:r w:rsidR="0030585E">
              <w:rPr>
                <w:b/>
              </w:rPr>
              <w:t>88</w:t>
            </w:r>
            <w:r w:rsidR="005C711B" w:rsidRPr="005A12CF">
              <w:rPr>
                <w:b/>
              </w:rPr>
              <w:t>/</w:t>
            </w:r>
            <w:r w:rsidR="004472F8" w:rsidRPr="005A12CF">
              <w:rPr>
                <w:b/>
              </w:rPr>
              <w:t>201</w:t>
            </w:r>
            <w:r w:rsidR="0030585E">
              <w:rPr>
                <w:b/>
              </w:rPr>
              <w:t>8</w:t>
            </w:r>
            <w:r w:rsidRPr="005A12CF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Βρίσκεται ο οικονομικός φορέας σε οποιαδήποτε από τις ακόλουθες καταστάσεις</w:t>
            </w:r>
            <w:r w:rsidRPr="00295DE8">
              <w:rPr>
                <w:rStyle w:val="aa"/>
                <w:color w:val="000000" w:themeColor="text1"/>
              </w:rPr>
              <w:endnoteReference w:id="26"/>
            </w:r>
            <w:r w:rsidRPr="00295DE8">
              <w:rPr>
                <w:color w:val="000000" w:themeColor="text1"/>
              </w:rPr>
              <w:t xml:space="preserve"> 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α) πτώχευση, ή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β) διαδικασία εξυγίανσης, ή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γ) ειδική εκκαθάριση, ή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δ) αναγκαστική διαχείριση από εκκαθαριστή ή από το δικαστήριο, ή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ε) έχει υπαχθεί σε διαδικασία πτωχευτικού συμβιβασμού, ή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στ) αναστολή επιχειρηματικών δραστηριοτήτων, ή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Εάν ναι: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 Παραθέστε λεπτομερή στοιχεία: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σύμβαση, λαμβανόμενης υπόψη της εφαρμοστέας εθνικής νομοθεσίας </w:t>
            </w:r>
            <w:r w:rsidR="000C72EC" w:rsidRPr="00295DE8">
              <w:rPr>
                <w:color w:val="000000" w:themeColor="text1"/>
              </w:rPr>
              <w:t>&amp;</w:t>
            </w:r>
            <w:r w:rsidRPr="00295DE8">
              <w:rPr>
                <w:color w:val="000000" w:themeColor="text1"/>
              </w:rPr>
              <w:t xml:space="preserve"> των μέτρων σχετικά με 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συνέχιση της επιχειρηματικής του λειτουργίας υπό αυτές τις περιστάσεις</w:t>
            </w:r>
            <w:r w:rsidRPr="00295DE8">
              <w:rPr>
                <w:rStyle w:val="aa"/>
                <w:color w:val="000000" w:themeColor="text1"/>
              </w:rPr>
              <w:endnoteReference w:id="27"/>
            </w:r>
            <w:r w:rsidRPr="00295DE8">
              <w:rPr>
                <w:rStyle w:val="aa"/>
                <w:color w:val="000000" w:themeColor="text1"/>
              </w:rPr>
              <w:t xml:space="preserve">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-[.......................]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-[.......................]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 xml:space="preserve">Έχει διαπράξει ο </w:t>
            </w:r>
            <w:r w:rsidRPr="00295DE8">
              <w:rPr>
                <w:color w:val="000000" w:themeColor="text1"/>
              </w:rPr>
              <w:t xml:space="preserve">οικονομικός φορέας </w:t>
            </w:r>
            <w:r w:rsidRPr="00295DE8">
              <w:rPr>
                <w:b/>
                <w:color w:val="000000" w:themeColor="text1"/>
              </w:rPr>
              <w:t>σοβαρό επαγγελματικό παράπτωμα</w:t>
            </w:r>
            <w:r w:rsidRPr="00295DE8">
              <w:rPr>
                <w:rStyle w:val="aa"/>
                <w:color w:val="000000" w:themeColor="text1"/>
              </w:rPr>
              <w:endnoteReference w:id="28"/>
            </w:r>
            <w:r w:rsidRPr="00295DE8">
              <w:rPr>
                <w:color w:val="000000" w:themeColor="text1"/>
              </w:rPr>
              <w:t>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b/>
                <w:color w:val="000000" w:themeColor="text1"/>
              </w:rPr>
            </w:pPr>
            <w:r w:rsidRPr="00295DE8">
              <w:rPr>
                <w:color w:val="000000" w:themeColor="text1"/>
              </w:rPr>
              <w:t>[] Ναι []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το έχει πράξει,</w:t>
            </w:r>
            <w:r w:rsidRPr="00295DE8">
              <w:rPr>
                <w:color w:val="000000" w:themeColor="text1"/>
              </w:rPr>
              <w:t xml:space="preserve"> περιγράψτε τα μέτρα που λήφθηκαν: 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>Έχει συνάψει</w:t>
            </w:r>
            <w:r w:rsidRPr="00295DE8">
              <w:rPr>
                <w:color w:val="000000" w:themeColor="text1"/>
              </w:rPr>
              <w:t xml:space="preserve"> ο οικονομικός φορέας </w:t>
            </w:r>
            <w:r w:rsidRPr="00295DE8">
              <w:rPr>
                <w:b/>
                <w:color w:val="000000" w:themeColor="text1"/>
              </w:rPr>
              <w:t>συμφωνίες</w:t>
            </w:r>
            <w:r w:rsidRPr="00295DE8">
              <w:rPr>
                <w:color w:val="000000" w:themeColor="text1"/>
              </w:rPr>
              <w:t xml:space="preserve"> με άλλους οικονομικούς φορείς </w:t>
            </w:r>
            <w:r w:rsidRPr="00295DE8">
              <w:rPr>
                <w:b/>
                <w:color w:val="000000" w:themeColor="text1"/>
              </w:rPr>
              <w:t>με σκοπό τη</w:t>
            </w:r>
            <w:r w:rsidR="00673917" w:rsidRPr="00295DE8">
              <w:rPr>
                <w:b/>
                <w:color w:val="000000" w:themeColor="text1"/>
              </w:rPr>
              <w:t>ν</w:t>
            </w:r>
            <w:r w:rsidRPr="00295DE8">
              <w:rPr>
                <w:b/>
                <w:color w:val="000000" w:themeColor="text1"/>
              </w:rPr>
              <w:t xml:space="preserve"> στρέβλωση του ανταγωνισμού</w:t>
            </w:r>
            <w:r w:rsidRPr="00295DE8">
              <w:rPr>
                <w:color w:val="000000" w:themeColor="text1"/>
              </w:rPr>
              <w:t>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Ναι</w:t>
            </w:r>
            <w:r w:rsidR="008D1A31"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 xml:space="preserve"> 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b/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="008D1A31" w:rsidRPr="00295DE8">
              <w:rPr>
                <w:color w:val="000000" w:themeColor="text1"/>
              </w:rPr>
              <w:t xml:space="preserve">  </w:t>
            </w: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το έχει πράξει,</w:t>
            </w:r>
            <w:r w:rsidRPr="00295DE8">
              <w:rPr>
                <w:color w:val="000000" w:themeColor="text1"/>
              </w:rPr>
              <w:t xml:space="preserve"> περιγράψτε τα μέτρα που λήφθηκαν: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 xml:space="preserve">Γνωρίζει ο οικονομικός φορέας την ύπαρξη τυχόν </w:t>
            </w:r>
            <w:r w:rsidRPr="00295DE8">
              <w:rPr>
                <w:b/>
                <w:color w:val="000000" w:themeColor="text1"/>
              </w:rPr>
              <w:t>σύγκρουσης συμφερόντων</w:t>
            </w:r>
            <w:r w:rsidRPr="00295DE8">
              <w:rPr>
                <w:rStyle w:val="a5"/>
                <w:b/>
                <w:color w:val="000000" w:themeColor="text1"/>
              </w:rPr>
              <w:endnoteReference w:id="29"/>
            </w:r>
            <w:r w:rsidRPr="00295DE8">
              <w:rPr>
                <w:color w:val="000000" w:themeColor="text1"/>
              </w:rPr>
              <w:t>, λόγω της συμμετοχής του στη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διαδικασία ανάθεσης της σύμβασης;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="008D1A31"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="008D1A31"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rStyle w:val="NormalBoldChar"/>
                <w:rFonts w:ascii="Calibri" w:eastAsia="Calibri" w:hAnsi="Calibri" w:cs="Calibri"/>
                <w:b w:val="0"/>
                <w:color w:val="000000" w:themeColor="text1"/>
                <w:sz w:val="22"/>
              </w:rPr>
              <w:t xml:space="preserve">Έχει παράσχει </w:t>
            </w:r>
            <w:r w:rsidRPr="00295DE8">
              <w:rPr>
                <w:rStyle w:val="NormalBoldChar"/>
                <w:rFonts w:eastAsia="Calibri"/>
                <w:b w:val="0"/>
                <w:color w:val="000000" w:themeColor="text1"/>
                <w:sz w:val="22"/>
              </w:rPr>
              <w:t xml:space="preserve">ο οικονομικός φορέας ή </w:t>
            </w:r>
            <w:r w:rsidRPr="00295DE8">
              <w:rPr>
                <w:color w:val="000000" w:themeColor="text1"/>
              </w:rPr>
              <w:t xml:space="preserve">επιχείρηση συνδεδεμένη με αυτόν </w:t>
            </w:r>
            <w:r w:rsidRPr="00295DE8">
              <w:rPr>
                <w:b/>
                <w:color w:val="000000" w:themeColor="text1"/>
              </w:rPr>
              <w:t>συμβουλές</w:t>
            </w:r>
            <w:r w:rsidRPr="00295DE8">
              <w:rPr>
                <w:color w:val="000000" w:themeColor="text1"/>
              </w:rPr>
              <w:t xml:space="preserve"> στην αναθέτουσα αρχή ή στον αναθέτοντα φορέα ή έχει με άλλο τρόπο </w:t>
            </w:r>
            <w:r w:rsidRPr="00295DE8">
              <w:rPr>
                <w:b/>
                <w:color w:val="000000" w:themeColor="text1"/>
              </w:rPr>
              <w:t>αναμειχθεί στην προετοιμασία</w:t>
            </w:r>
            <w:r w:rsidRPr="00295DE8">
              <w:rPr>
                <w:color w:val="000000" w:themeColor="text1"/>
              </w:rPr>
              <w:t xml:space="preserve"> της διαδικασίας σύναψης της σύμβασης</w:t>
            </w:r>
            <w:r w:rsidRPr="00295DE8">
              <w:rPr>
                <w:rStyle w:val="aa"/>
                <w:color w:val="000000" w:themeColor="text1"/>
              </w:rPr>
              <w:endnoteReference w:id="30"/>
            </w:r>
            <w:r w:rsidRPr="00295DE8">
              <w:rPr>
                <w:color w:val="000000" w:themeColor="text1"/>
              </w:rPr>
              <w:t>;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295DE8">
              <w:rPr>
                <w:color w:val="000000" w:themeColor="text1"/>
              </w:rPr>
              <w:t>Έχει επιδείξει ο οικονομικός φορέας σοβαρή ή επαναλαμβανόμενη πλημμέλεια</w:t>
            </w:r>
            <w:r w:rsidRPr="00295DE8">
              <w:rPr>
                <w:rStyle w:val="aa"/>
                <w:color w:val="000000" w:themeColor="text1"/>
              </w:rPr>
              <w:endnoteReference w:id="31"/>
            </w:r>
            <w:r w:rsidRPr="00295DE8">
              <w:rPr>
                <w:color w:val="000000" w:themeColor="text1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295DE8">
              <w:rPr>
                <w:color w:val="000000" w:themeColor="text1"/>
              </w:rPr>
              <w:t>γελία της προηγούμενης σύμβασης</w:t>
            </w:r>
            <w:r w:rsidRPr="00295DE8">
              <w:rPr>
                <w:color w:val="000000" w:themeColor="text1"/>
              </w:rPr>
              <w:t xml:space="preserve">, αποζημιώσεις ή άλλες παρόμοιες κυρώσεις;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napToGrid w:val="0"/>
              <w:spacing w:after="0"/>
              <w:rPr>
                <w:color w:val="000000" w:themeColor="text1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ναι</w:t>
            </w:r>
            <w:r w:rsidRPr="00295DE8">
              <w:rPr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b/>
                <w:color w:val="000000" w:themeColor="text1"/>
              </w:rPr>
              <w:t>Εάν το έχει πράξει,</w:t>
            </w:r>
            <w:r w:rsidRPr="00295DE8">
              <w:rPr>
                <w:color w:val="000000" w:themeColor="text1"/>
              </w:rPr>
              <w:t xml:space="preserve"> περιγράψτε τα μέτρα που λήφθηκαν: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Μπορεί ο οικονομικός φορέας να επιβεβαιώσει ότι: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β) δεν έχει αποκρύψει τις πληροφορίες αυτές,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δ) δεν έχει επιχειρήσει να επηρεάσει με αθέμιτο τρόπο 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295DE8">
              <w:rPr>
                <w:color w:val="000000" w:themeColor="text1"/>
              </w:rPr>
              <w:t>ν</w:t>
            </w:r>
            <w:r w:rsidRPr="00295DE8">
              <w:rPr>
                <w:color w:val="000000" w:themeColor="text1"/>
              </w:rPr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 xml:space="preserve">] Ναι </w:t>
            </w:r>
            <w:r w:rsidRPr="00295DE8">
              <w:rPr>
                <w:color w:val="000000" w:themeColor="text1"/>
                <w:lang w:val="en-US"/>
              </w:rPr>
              <w:t xml:space="preserve">   </w:t>
            </w:r>
            <w:r w:rsidRPr="00295DE8">
              <w:rPr>
                <w:color w:val="000000" w:themeColor="text1"/>
              </w:rPr>
              <w:t>[</w:t>
            </w:r>
            <w:r w:rsidRPr="00295DE8">
              <w:rPr>
                <w:color w:val="000000" w:themeColor="text1"/>
                <w:lang w:val="en-US"/>
              </w:rPr>
              <w:t xml:space="preserve">  </w:t>
            </w:r>
            <w:r w:rsidRPr="00295DE8">
              <w:rPr>
                <w:color w:val="000000" w:themeColor="text1"/>
              </w:rPr>
              <w:t>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b/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295DE8">
              <w:rPr>
                <w:b/>
                <w:i/>
                <w:color w:val="000000" w:themeColor="text1"/>
              </w:rPr>
              <w:t>Εάν ναι</w:t>
            </w:r>
            <w:r w:rsidRPr="00295DE8">
              <w:rPr>
                <w:i/>
                <w:color w:val="000000" w:themeColor="text1"/>
              </w:rPr>
              <w:t xml:space="preserve">, έχει λάβει ο οικονομικός φορέας μέτρα αυτοκάθαρσης; </w:t>
            </w:r>
          </w:p>
          <w:p w:rsidR="008D1A31" w:rsidRPr="00295DE8" w:rsidRDefault="008D1A31" w:rsidP="008D1A31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  ] Ναι    [  ] Όχι</w:t>
            </w:r>
          </w:p>
          <w:p w:rsidR="004E2CB9" w:rsidRPr="00295DE8" w:rsidRDefault="004E2CB9" w:rsidP="004E2CB9">
            <w:pPr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295DE8">
              <w:rPr>
                <w:b/>
                <w:i/>
                <w:color w:val="000000" w:themeColor="text1"/>
              </w:rPr>
              <w:t>Εάν το έχει πράξει,</w:t>
            </w:r>
            <w:r w:rsidRPr="00295DE8">
              <w:rPr>
                <w:i/>
                <w:color w:val="000000" w:themeColor="text1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295DE8">
              <w:rPr>
                <w:i/>
                <w:color w:val="000000" w:themeColor="text1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bCs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1α) Ο («γενικός») </w:t>
            </w:r>
            <w:r w:rsidRPr="00295DE8">
              <w:rPr>
                <w:b/>
                <w:color w:val="000000" w:themeColor="text1"/>
              </w:rPr>
              <w:t>ετήσιος κύκλος εργασιών</w:t>
            </w:r>
            <w:r w:rsidRPr="00295DE8">
              <w:rPr>
                <w:color w:val="000000" w:themeColor="text1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5DE8">
              <w:rPr>
                <w:b/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bCs/>
                <w:color w:val="000000" w:themeColor="text1"/>
              </w:rPr>
              <w:t>και/ή,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1β) Ο </w:t>
            </w:r>
            <w:r w:rsidRPr="00295DE8">
              <w:rPr>
                <w:b/>
                <w:color w:val="000000" w:themeColor="text1"/>
              </w:rPr>
              <w:t>μέσος</w:t>
            </w:r>
            <w:r w:rsidRPr="00295DE8">
              <w:rPr>
                <w:color w:val="000000" w:themeColor="text1"/>
              </w:rPr>
              <w:t xml:space="preserve"> ετήσιος </w:t>
            </w:r>
            <w:r w:rsidRPr="00295DE8">
              <w:rPr>
                <w:b/>
                <w:color w:val="000000" w:themeColor="text1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295DE8">
              <w:rPr>
                <w:rStyle w:val="a5"/>
                <w:color w:val="000000" w:themeColor="text1"/>
                <w:vertAlign w:val="superscript"/>
              </w:rPr>
              <w:endnoteReference w:id="34"/>
            </w:r>
            <w:r w:rsidRPr="00295DE8">
              <w:rPr>
                <w:b/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(αριθμός ετών, μέσος κύκλος εργασιών)</w:t>
            </w:r>
            <w:r w:rsidRPr="00295DE8">
              <w:rPr>
                <w:b/>
                <w:color w:val="000000" w:themeColor="text1"/>
              </w:rPr>
              <w:t>:</w:t>
            </w:r>
            <w:r w:rsidRPr="00295DE8">
              <w:rPr>
                <w:color w:val="000000" w:themeColor="text1"/>
              </w:rPr>
              <w:t xml:space="preserve">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[……],[……][…]νόμισμα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b/>
                <w:bCs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2α) Ο ετήσιος («ειδικός») </w:t>
            </w:r>
            <w:r w:rsidRPr="00295DE8">
              <w:rPr>
                <w:b/>
                <w:color w:val="000000" w:themeColor="text1"/>
              </w:rPr>
              <w:t>κύκλος εργασιών του οικονομικού φορέα στον επιχειρηματικό τομέα που καλύπτεται από τη σύμβαση</w:t>
            </w:r>
            <w:r w:rsidRPr="00295DE8">
              <w:rPr>
                <w:color w:val="000000" w:themeColor="text1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b/>
                <w:bCs/>
                <w:color w:val="000000" w:themeColor="text1"/>
              </w:rPr>
              <w:t>και/ή,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2β) Ο </w:t>
            </w:r>
            <w:r w:rsidRPr="00295DE8">
              <w:rPr>
                <w:b/>
                <w:color w:val="000000" w:themeColor="text1"/>
              </w:rPr>
              <w:t>μέσος</w:t>
            </w:r>
            <w:r w:rsidRPr="00295DE8">
              <w:rPr>
                <w:color w:val="000000" w:themeColor="text1"/>
              </w:rPr>
              <w:t xml:space="preserve"> ετήσιος </w:t>
            </w:r>
            <w:r w:rsidRPr="00295DE8">
              <w:rPr>
                <w:b/>
                <w:color w:val="000000" w:themeColor="text1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5DE8">
              <w:rPr>
                <w:rStyle w:val="aa"/>
                <w:color w:val="000000" w:themeColor="text1"/>
              </w:rPr>
              <w:endnoteReference w:id="35"/>
            </w:r>
            <w:r w:rsidRPr="00295DE8">
              <w:rPr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 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 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έτος: [……] κύκλος εργασιών: 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(αριθμός ετών, μέσος κύκλος εργασιών)</w:t>
            </w:r>
            <w:r w:rsidRPr="00295DE8">
              <w:rPr>
                <w:b/>
                <w:color w:val="000000" w:themeColor="text1"/>
              </w:rPr>
              <w:t>:</w:t>
            </w:r>
            <w:r w:rsidRPr="00295DE8">
              <w:rPr>
                <w:color w:val="000000" w:themeColor="text1"/>
              </w:rPr>
              <w:t xml:space="preserve">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[……],[……][…] 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4)Όσον αφορά τις χρηματοοικονομικές αναλογίες</w:t>
            </w:r>
            <w:r w:rsidRPr="00295DE8">
              <w:rPr>
                <w:rStyle w:val="aa"/>
                <w:color w:val="000000" w:themeColor="text1"/>
              </w:rPr>
              <w:endnoteReference w:id="36"/>
            </w:r>
            <w:r w:rsidRPr="00295DE8">
              <w:rPr>
                <w:color w:val="000000" w:themeColor="text1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 xml:space="preserve">(προσδιορισμός της απαιτούμενης αναλογίας-αναλογία μεταξύ </w:t>
            </w:r>
            <w:r w:rsidR="004E2CB9" w:rsidRPr="00295DE8">
              <w:rPr>
                <w:color w:val="000000" w:themeColor="text1"/>
                <w:lang w:val="en-US"/>
              </w:rPr>
              <w:t>x</w:t>
            </w:r>
            <w:r w:rsidR="004E2CB9" w:rsidRPr="00295DE8">
              <w:rPr>
                <w:color w:val="000000" w:themeColor="text1"/>
              </w:rPr>
              <w:t xml:space="preserve"> και </w:t>
            </w:r>
            <w:r w:rsidR="004E2CB9" w:rsidRPr="00295DE8">
              <w:rPr>
                <w:color w:val="000000" w:themeColor="text1"/>
                <w:lang w:val="en-US"/>
              </w:rPr>
              <w:t>y</w:t>
            </w:r>
            <w:r w:rsidR="004E2CB9" w:rsidRPr="00295DE8">
              <w:rPr>
                <w:rStyle w:val="aa"/>
                <w:color w:val="000000" w:themeColor="text1"/>
                <w:lang w:val="en-US"/>
              </w:rPr>
              <w:endnoteReference w:id="37"/>
            </w:r>
            <w:r w:rsidR="004E2CB9" w:rsidRPr="00295DE8">
              <w:rPr>
                <w:color w:val="000000" w:themeColor="text1"/>
              </w:rPr>
              <w:t xml:space="preserve"> -και η αντίστοιχη αξία)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napToGrid w:val="0"/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color w:val="000000" w:themeColor="text1"/>
                <w:sz w:val="22"/>
              </w:rPr>
            </w:pPr>
            <w:r w:rsidRPr="00295DE8">
              <w:rPr>
                <w:color w:val="000000" w:themeColor="text1"/>
              </w:rPr>
              <w:t xml:space="preserve">5) Το ασφαλισμένο ποσό στην </w:t>
            </w:r>
            <w:r w:rsidRPr="00295DE8">
              <w:rPr>
                <w:b/>
                <w:color w:val="000000" w:themeColor="text1"/>
              </w:rPr>
              <w:t>ασφαλιστική κάλυψη επαγγελματικών κινδύνων</w:t>
            </w:r>
            <w:r w:rsidRPr="00295DE8">
              <w:rPr>
                <w:color w:val="000000" w:themeColor="text1"/>
              </w:rPr>
              <w:t xml:space="preserve"> του οικονομικού φορέα είναι το εξής: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[……][…]νόμισμα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1α) Μόνο για τις </w:t>
            </w:r>
            <w:r w:rsidRPr="00295DE8">
              <w:rPr>
                <w:b/>
                <w:i/>
                <w:color w:val="000000" w:themeColor="text1"/>
              </w:rPr>
              <w:t>δημόσιες συμβάσεις έργων</w:t>
            </w:r>
            <w:r w:rsidRPr="00295DE8">
              <w:rPr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>Κατά τη διάρκεια της περιόδου αναφοράς</w:t>
            </w:r>
            <w:r w:rsidRPr="00295DE8">
              <w:rPr>
                <w:rStyle w:val="a5"/>
                <w:color w:val="000000" w:themeColor="text1"/>
                <w:vertAlign w:val="superscript"/>
              </w:rPr>
              <w:endnoteReference w:id="38"/>
            </w:r>
            <w:r w:rsidRPr="00295DE8">
              <w:rPr>
                <w:color w:val="000000" w:themeColor="text1"/>
              </w:rPr>
              <w:t xml:space="preserve">, ο οικονομικός φορέας έχει </w:t>
            </w:r>
            <w:r w:rsidRPr="00295DE8">
              <w:rPr>
                <w:b/>
                <w:color w:val="000000" w:themeColor="text1"/>
              </w:rPr>
              <w:t>εκτελέσει τα ακόλουθα έργα του είδους που έχει προσδιοριστεί</w:t>
            </w:r>
            <w:r w:rsidRPr="00295DE8">
              <w:rPr>
                <w:color w:val="000000" w:themeColor="text1"/>
              </w:rPr>
              <w:t>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[…]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i/>
                <w:color w:val="000000" w:themeColor="text1"/>
              </w:rPr>
            </w:pPr>
            <w:r w:rsidRPr="00295DE8">
              <w:rPr>
                <w:color w:val="000000" w:themeColor="text1"/>
              </w:rPr>
              <w:t>Έργα: [……]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rFonts w:eastAsia="Calibri"/>
                <w:i/>
                <w:color w:val="000000" w:themeColor="text1"/>
              </w:rPr>
            </w:pPr>
            <w:r w:rsidRPr="00295DE8">
              <w:rPr>
                <w:i/>
                <w:color w:val="000000" w:themeColor="text1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295DE8">
              <w:rPr>
                <w:i/>
                <w:color w:val="000000" w:themeColor="text1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2) Ο οικονομικός φορέας μπορεί να χρησιμοποιήσει το ακόλουθο </w:t>
            </w:r>
            <w:r w:rsidRPr="00295DE8">
              <w:rPr>
                <w:b/>
                <w:color w:val="000000" w:themeColor="text1"/>
              </w:rPr>
              <w:t>τεχνικό προσωπικό ή τις ακόλουθες τεχνικές υπηρεσίες</w:t>
            </w:r>
            <w:r w:rsidRPr="00295DE8">
              <w:rPr>
                <w:rStyle w:val="a5"/>
                <w:color w:val="000000" w:themeColor="text1"/>
                <w:vertAlign w:val="superscript"/>
              </w:rPr>
              <w:endnoteReference w:id="41"/>
            </w:r>
            <w:r w:rsidRPr="00295DE8">
              <w:rPr>
                <w:color w:val="000000" w:themeColor="text1"/>
              </w:rPr>
              <w:t>, ιδίως τους υπεύθυνους για τον έλεγχο της ποιότητας: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[……..........................]</w:t>
            </w: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</w:p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3) Ο οικονομικός φορέας χρησιμοποιεί τον ακόλουθο </w:t>
            </w:r>
            <w:r w:rsidRPr="00295DE8">
              <w:rPr>
                <w:b/>
                <w:color w:val="000000" w:themeColor="text1"/>
              </w:rPr>
              <w:t>τεχνικό εξοπλισμό και λαμβάνει τα ακόλουθα μέτρα για την διασφάλιση της ποιότητας</w:t>
            </w:r>
            <w:r w:rsidRPr="00295DE8">
              <w:rPr>
                <w:color w:val="000000" w:themeColor="text1"/>
              </w:rPr>
              <w:t xml:space="preserve"> και τα </w:t>
            </w:r>
            <w:r w:rsidRPr="00295DE8">
              <w:rPr>
                <w:b/>
                <w:color w:val="000000" w:themeColor="text1"/>
              </w:rPr>
              <w:t>μέσα μελέτης και έρευνας</w:t>
            </w:r>
            <w:r w:rsidRPr="00295DE8">
              <w:rPr>
                <w:color w:val="000000" w:themeColor="text1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295DE8" w:rsidRDefault="004E2CB9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9) Ο οικονομικός φορέας θα έχει στη διάθεσή του τα ακόλουθα </w:t>
            </w:r>
            <w:r w:rsidRPr="00295DE8">
              <w:rPr>
                <w:b/>
                <w:color w:val="000000" w:themeColor="text1"/>
              </w:rPr>
              <w:t xml:space="preserve">μηχανήματα, εγκαταστάσεις και τεχνικό εξοπλισμό </w:t>
            </w:r>
            <w:r w:rsidRPr="00295DE8">
              <w:rPr>
                <w:color w:val="000000" w:themeColor="text1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295DE8" w:rsidRDefault="00A14A4B" w:rsidP="004E2CB9">
            <w:pPr>
              <w:spacing w:after="0"/>
              <w:ind w:firstLine="0"/>
              <w:rPr>
                <w:color w:val="000000" w:themeColor="text1"/>
              </w:rPr>
            </w:pPr>
            <w:r w:rsidRPr="00295DE8">
              <w:rPr>
                <w:color w:val="000000" w:themeColor="text1"/>
              </w:rPr>
              <w:t xml:space="preserve"> </w:t>
            </w:r>
            <w:r w:rsidR="004E2CB9" w:rsidRPr="00295DE8">
              <w:rPr>
                <w:color w:val="000000" w:themeColor="text1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 xml:space="preserve">διαδικασίας σύναψης δημόσιας σύμβασης του έργου </w:t>
      </w:r>
      <w:r w:rsidR="00C230F3" w:rsidRPr="005A12CF">
        <w:rPr>
          <w:i/>
        </w:rPr>
        <w:t>«</w:t>
      </w:r>
      <w:r w:rsidR="0030585E">
        <w:rPr>
          <w:b/>
          <w:bCs/>
          <w:color w:val="000000"/>
        </w:rPr>
        <w:t>ΣΥΝΤΗΡΗΣΕΙΣ ΚΟΙΜΗΤΗΡΙΩΝ 2018</w:t>
      </w:r>
      <w:r w:rsidR="00C230F3" w:rsidRPr="005A12CF">
        <w:rPr>
          <w:i/>
        </w:rPr>
        <w:t>» -</w:t>
      </w:r>
      <w:r w:rsidR="00C230F3">
        <w:rPr>
          <w:i/>
        </w:rPr>
        <w:t>Κωδικός ΚΗΜΔΗΣ</w:t>
      </w:r>
      <w:r w:rsidR="00A14A4B">
        <w:rPr>
          <w:i/>
        </w:rPr>
        <w:t xml:space="preserve"> </w:t>
      </w:r>
      <w:r w:rsidR="005A12CF" w:rsidRPr="005A12CF">
        <w:rPr>
          <w:i/>
        </w:rPr>
        <w:t>19</w:t>
      </w:r>
      <w:r w:rsidR="005A12CF">
        <w:rPr>
          <w:i/>
          <w:lang w:val="en-US"/>
        </w:rPr>
        <w:t>PROC</w:t>
      </w:r>
      <w:r w:rsidR="005A12CF" w:rsidRPr="005A12CF">
        <w:rPr>
          <w:i/>
        </w:rPr>
        <w:t>0048</w:t>
      </w:r>
      <w:r w:rsidR="0030585E">
        <w:rPr>
          <w:i/>
        </w:rPr>
        <w:t>49700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06" w:rsidRDefault="00BB6E06">
      <w:pPr>
        <w:spacing w:after="0" w:line="240" w:lineRule="auto"/>
      </w:pPr>
      <w:r>
        <w:separator/>
      </w:r>
    </w:p>
  </w:endnote>
  <w:endnote w:type="continuationSeparator" w:id="0">
    <w:p w:rsidR="00BB6E06" w:rsidRDefault="00BB6E06">
      <w:pPr>
        <w:spacing w:after="0" w:line="240" w:lineRule="auto"/>
      </w:pPr>
      <w:r>
        <w:continuationSeparator/>
      </w:r>
    </w:p>
  </w:endnote>
  <w:endnote w:id="1">
    <w:p w:rsidR="00BB6E06" w:rsidRPr="002F6B21" w:rsidRDefault="00BB6E06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BB6E06" w:rsidRPr="00F62DFA" w:rsidRDefault="00BB6E06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6E06" w:rsidRPr="00F62DFA" w:rsidRDefault="00BB6E06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6E06" w:rsidRPr="00F62DFA" w:rsidRDefault="00BB6E06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BB6E06" w:rsidRPr="002F6B21" w:rsidRDefault="00BB6E06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6" w:rsidRDefault="00D3403F">
    <w:pPr>
      <w:pStyle w:val="af0"/>
      <w:shd w:val="clear" w:color="auto" w:fill="FFFFFF"/>
      <w:jc w:val="center"/>
    </w:pPr>
    <w:fldSimple w:instr=" PAGE ">
      <w:r w:rsidR="0030585E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06" w:rsidRDefault="00BB6E06">
      <w:pPr>
        <w:spacing w:after="0" w:line="240" w:lineRule="auto"/>
      </w:pPr>
      <w:r>
        <w:separator/>
      </w:r>
    </w:p>
  </w:footnote>
  <w:footnote w:type="continuationSeparator" w:id="0">
    <w:p w:rsidR="00BB6E06" w:rsidRDefault="00B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6" w:rsidRDefault="00BB6E06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06B96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C7FE7"/>
    <w:rsid w:val="001E6916"/>
    <w:rsid w:val="001F7FD4"/>
    <w:rsid w:val="002321EC"/>
    <w:rsid w:val="00266FDD"/>
    <w:rsid w:val="00280674"/>
    <w:rsid w:val="00295167"/>
    <w:rsid w:val="00295DE8"/>
    <w:rsid w:val="002D5A5C"/>
    <w:rsid w:val="002F6B21"/>
    <w:rsid w:val="0030585E"/>
    <w:rsid w:val="00335746"/>
    <w:rsid w:val="003A5BD6"/>
    <w:rsid w:val="003C23D1"/>
    <w:rsid w:val="003D05A6"/>
    <w:rsid w:val="003D10A7"/>
    <w:rsid w:val="003D6F05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A12CF"/>
    <w:rsid w:val="005B1C46"/>
    <w:rsid w:val="005C711B"/>
    <w:rsid w:val="005E6938"/>
    <w:rsid w:val="00612E8D"/>
    <w:rsid w:val="006254C5"/>
    <w:rsid w:val="006568E7"/>
    <w:rsid w:val="00671FF6"/>
    <w:rsid w:val="00673917"/>
    <w:rsid w:val="006C72CE"/>
    <w:rsid w:val="006E620D"/>
    <w:rsid w:val="007318B7"/>
    <w:rsid w:val="00734CDE"/>
    <w:rsid w:val="00782DD2"/>
    <w:rsid w:val="00797857"/>
    <w:rsid w:val="007B7E09"/>
    <w:rsid w:val="007C2F8E"/>
    <w:rsid w:val="0080667C"/>
    <w:rsid w:val="008115BC"/>
    <w:rsid w:val="0083716A"/>
    <w:rsid w:val="008673AA"/>
    <w:rsid w:val="008861EE"/>
    <w:rsid w:val="00893E9F"/>
    <w:rsid w:val="008D02B7"/>
    <w:rsid w:val="008D1A31"/>
    <w:rsid w:val="00936A1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469F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B5A95"/>
    <w:rsid w:val="00BB6E06"/>
    <w:rsid w:val="00BC3D9C"/>
    <w:rsid w:val="00C230F3"/>
    <w:rsid w:val="00C441BF"/>
    <w:rsid w:val="00C57C4F"/>
    <w:rsid w:val="00C57EF2"/>
    <w:rsid w:val="00C619E6"/>
    <w:rsid w:val="00C6482F"/>
    <w:rsid w:val="00C86856"/>
    <w:rsid w:val="00CA0924"/>
    <w:rsid w:val="00CD3750"/>
    <w:rsid w:val="00CD4AA5"/>
    <w:rsid w:val="00CE5967"/>
    <w:rsid w:val="00CE71F4"/>
    <w:rsid w:val="00CF7CFF"/>
    <w:rsid w:val="00D25EEF"/>
    <w:rsid w:val="00D270FD"/>
    <w:rsid w:val="00D3403F"/>
    <w:rsid w:val="00D44474"/>
    <w:rsid w:val="00D52E84"/>
    <w:rsid w:val="00D55A59"/>
    <w:rsid w:val="00DC40D6"/>
    <w:rsid w:val="00E00AB5"/>
    <w:rsid w:val="00E109F9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  <w:style w:type="paragraph" w:customStyle="1" w:styleId="Normalgr">
    <w:name w:val="Normalgr"/>
    <w:rsid w:val="00BB6E06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E45E-F142-46D6-A181-C66E3E36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4944</Words>
  <Characters>26703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</cp:lastModifiedBy>
  <cp:revision>2</cp:revision>
  <cp:lastPrinted>2018-09-12T12:31:00Z</cp:lastPrinted>
  <dcterms:created xsi:type="dcterms:W3CDTF">2019-05-07T05:40:00Z</dcterms:created>
  <dcterms:modified xsi:type="dcterms:W3CDTF">2019-05-07T05:40:00Z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